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50" w:rsidRPr="00D62F5C" w:rsidRDefault="006E5050" w:rsidP="00D62F5C">
      <w:pPr>
        <w:spacing w:after="0" w:line="240" w:lineRule="auto"/>
        <w:jc w:val="center"/>
        <w:rPr>
          <w:rFonts w:ascii="Arial" w:hAnsi="Arial" w:cs="Arial"/>
          <w:b/>
          <w:color w:val="1D1B11" w:themeColor="background2" w:themeShade="1A"/>
          <w:vertAlign w:val="superscript"/>
        </w:rPr>
      </w:pPr>
      <w:r w:rsidRPr="006E5050">
        <w:rPr>
          <w:rFonts w:ascii="Arial" w:hAnsi="Arial" w:cs="Arial"/>
          <w:b/>
          <w:color w:val="1D1B11" w:themeColor="background2" w:themeShade="1A"/>
        </w:rPr>
        <w:t>DE SANATÓRIO À</w:t>
      </w:r>
      <w:r w:rsidR="00D62F5C">
        <w:rPr>
          <w:rFonts w:ascii="Arial" w:hAnsi="Arial" w:cs="Arial"/>
          <w:b/>
          <w:color w:val="1D1B11" w:themeColor="background2" w:themeShade="1A"/>
        </w:rPr>
        <w:t xml:space="preserve"> </w:t>
      </w:r>
      <w:r w:rsidRPr="006E5050">
        <w:rPr>
          <w:rFonts w:ascii="Arial" w:hAnsi="Arial" w:cs="Arial"/>
          <w:b/>
          <w:color w:val="1D1B11" w:themeColor="background2" w:themeShade="1A"/>
        </w:rPr>
        <w:t>FUNDAÇÃO HOSPITAL ADRIANO JORGE: UMA REFERÊNCIA NA HISTÓRIA DA SAÚDE PÚBLICA NO ESTADO DO AMAZONAS</w:t>
      </w:r>
      <w:r w:rsidR="00D62F5C">
        <w:rPr>
          <w:rFonts w:ascii="Arial" w:hAnsi="Arial" w:cs="Arial"/>
          <w:b/>
          <w:color w:val="1D1B11" w:themeColor="background2" w:themeShade="1A"/>
          <w:vertAlign w:val="superscript"/>
        </w:rPr>
        <w:t>1</w:t>
      </w:r>
    </w:p>
    <w:p w:rsidR="006E5050" w:rsidRDefault="006E5050" w:rsidP="00D62F5C">
      <w:pPr>
        <w:spacing w:after="0" w:line="240" w:lineRule="auto"/>
        <w:jc w:val="center"/>
        <w:rPr>
          <w:rFonts w:ascii="Arial" w:hAnsi="Arial" w:cs="Arial"/>
          <w:b/>
          <w:color w:val="1D1B11" w:themeColor="background2" w:themeShade="1A"/>
        </w:rPr>
      </w:pPr>
    </w:p>
    <w:p w:rsidR="0076672E" w:rsidRPr="008F5CB1" w:rsidRDefault="004B3BD7" w:rsidP="00295BC0">
      <w:pPr>
        <w:spacing w:after="0" w:line="240" w:lineRule="auto"/>
        <w:jc w:val="center"/>
        <w:rPr>
          <w:rFonts w:ascii="Arial" w:hAnsi="Arial" w:cs="Arial"/>
          <w:b/>
          <w:color w:val="1D1B11" w:themeColor="background2" w:themeShade="1A"/>
          <w:sz w:val="20"/>
          <w:szCs w:val="20"/>
        </w:rPr>
      </w:pPr>
      <w:r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>SILVA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, </w:t>
      </w:r>
      <w:proofErr w:type="spellStart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Marilene</w:t>
      </w:r>
      <w:proofErr w:type="spellEnd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 de Sena e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2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LIMA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, </w:t>
      </w:r>
      <w:proofErr w:type="spellStart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Vládia</w:t>
      </w:r>
      <w:proofErr w:type="spellEnd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 Maria Nascimento de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3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TEIXEIRA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, </w:t>
      </w:r>
      <w:proofErr w:type="spellStart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Tammy</w:t>
      </w:r>
      <w:proofErr w:type="spellEnd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 Hara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4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; 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>ANJOS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, José Geraldo Xavier dos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5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ARAÚJO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, Marcelo Tapajós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6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SADAHIRO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, Megumi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7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PALHETA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, </w:t>
      </w:r>
      <w:proofErr w:type="spellStart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Rosiane</w:t>
      </w:r>
      <w:proofErr w:type="spellEnd"/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 xml:space="preserve"> Pinheiro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8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FARTOLINO</w:t>
      </w:r>
      <w:r w:rsidR="003973DC" w:rsidRPr="008F5CB1">
        <w:rPr>
          <w:rFonts w:ascii="Arial" w:hAnsi="Arial" w:cs="Arial"/>
          <w:color w:val="1D1B11" w:themeColor="background2" w:themeShade="1A"/>
          <w:sz w:val="20"/>
          <w:szCs w:val="20"/>
        </w:rPr>
        <w:t>, Elizete Moutinho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9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r w:rsidR="0076672E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BOTELHO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</w:rPr>
        <w:t>, João Bosco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10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</w:rPr>
        <w:t>;</w:t>
      </w:r>
      <w:proofErr w:type="gramStart"/>
      <w:r w:rsidR="0076672E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</w:t>
      </w:r>
      <w:r w:rsidR="003973DC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 xml:space="preserve"> </w:t>
      </w:r>
      <w:proofErr w:type="gramEnd"/>
      <w:r w:rsidR="0076672E" w:rsidRPr="008F5CB1">
        <w:rPr>
          <w:rFonts w:ascii="Arial" w:hAnsi="Arial" w:cs="Arial"/>
          <w:b/>
          <w:color w:val="1D1B11" w:themeColor="background2" w:themeShade="1A"/>
          <w:sz w:val="20"/>
          <w:szCs w:val="20"/>
        </w:rPr>
        <w:t>RODRIGUES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</w:rPr>
        <w:t>, Max Lucas Martins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  <w:vertAlign w:val="superscript"/>
        </w:rPr>
        <w:t>11</w:t>
      </w:r>
      <w:r w:rsidR="0076672E" w:rsidRPr="008F5CB1">
        <w:rPr>
          <w:rFonts w:ascii="Arial" w:hAnsi="Arial" w:cs="Arial"/>
          <w:color w:val="1D1B11" w:themeColor="background2" w:themeShade="1A"/>
          <w:sz w:val="20"/>
          <w:szCs w:val="20"/>
        </w:rPr>
        <w:t>.</w:t>
      </w:r>
    </w:p>
    <w:p w:rsidR="00150431" w:rsidRPr="008F5CB1" w:rsidRDefault="00150431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F5CB1" w:rsidRDefault="00150431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F5CB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</w:t>
      </w:r>
      <w:r w:rsidR="00421983" w:rsidRPr="008F5CB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esumo</w:t>
      </w:r>
    </w:p>
    <w:p w:rsidR="00277B33" w:rsidRPr="00421983" w:rsidRDefault="00277B33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150431" w:rsidRPr="00421983" w:rsidRDefault="00150431" w:rsidP="004219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F5CB1">
        <w:rPr>
          <w:rFonts w:ascii="Arial" w:hAnsi="Arial" w:cs="Arial"/>
          <w:sz w:val="18"/>
          <w:szCs w:val="18"/>
        </w:rPr>
        <w:t xml:space="preserve">Resgata a História da Fundação Hospital Adriano Jorge, </w:t>
      </w:r>
      <w:r w:rsidR="008F5CB1" w:rsidRPr="008F5CB1">
        <w:rPr>
          <w:rFonts w:ascii="Arial" w:hAnsi="Arial" w:cs="Arial"/>
          <w:sz w:val="18"/>
          <w:szCs w:val="18"/>
        </w:rPr>
        <w:t>através de um</w:t>
      </w:r>
      <w:r w:rsidRPr="008F5CB1">
        <w:rPr>
          <w:rFonts w:ascii="Arial" w:hAnsi="Arial" w:cs="Arial"/>
          <w:sz w:val="18"/>
          <w:szCs w:val="18"/>
        </w:rPr>
        <w:t xml:space="preserve"> trabalho</w:t>
      </w:r>
      <w:r w:rsidR="008F5CB1" w:rsidRPr="008F5CB1">
        <w:rPr>
          <w:rFonts w:ascii="Arial" w:hAnsi="Arial" w:cs="Arial"/>
          <w:sz w:val="18"/>
          <w:szCs w:val="18"/>
        </w:rPr>
        <w:t xml:space="preserve">, </w:t>
      </w:r>
      <w:r w:rsidRPr="008F5CB1">
        <w:rPr>
          <w:rFonts w:ascii="Arial" w:hAnsi="Arial" w:cs="Arial"/>
          <w:sz w:val="18"/>
          <w:szCs w:val="18"/>
        </w:rPr>
        <w:t>dividido em 12 capítulos, os quais aborda</w:t>
      </w:r>
      <w:r w:rsidR="004641DA">
        <w:rPr>
          <w:rFonts w:ascii="Arial" w:hAnsi="Arial" w:cs="Arial"/>
          <w:sz w:val="18"/>
          <w:szCs w:val="18"/>
        </w:rPr>
        <w:t>m</w:t>
      </w:r>
      <w:r w:rsidRPr="008F5CB1">
        <w:rPr>
          <w:rFonts w:ascii="Arial" w:hAnsi="Arial" w:cs="Arial"/>
          <w:sz w:val="18"/>
          <w:szCs w:val="18"/>
        </w:rPr>
        <w:t xml:space="preserve"> sobre a estrutura organizacional da Fundação além de outros assuntos relevantes para composição da História da Fundação Hospital Adriano Jorge desde a época de Sanatório (1953) à Fundação Hospital Adriano Jorge (de 2003 até os dias atuais).</w:t>
      </w:r>
      <w:r w:rsidR="008F5CB1" w:rsidRPr="008F5CB1">
        <w:rPr>
          <w:rFonts w:ascii="Arial" w:hAnsi="Arial" w:cs="Arial"/>
          <w:sz w:val="18"/>
          <w:szCs w:val="18"/>
        </w:rPr>
        <w:t xml:space="preserve"> </w:t>
      </w:r>
      <w:r w:rsidRPr="008F5CB1">
        <w:rPr>
          <w:rFonts w:ascii="Arial" w:hAnsi="Arial" w:cs="Arial"/>
          <w:sz w:val="18"/>
          <w:szCs w:val="18"/>
        </w:rPr>
        <w:t>As metas de trabalho desenvolvidas naquela época do Sanatório</w:t>
      </w:r>
      <w:r w:rsidR="008F5CB1" w:rsidRPr="008F5CB1">
        <w:rPr>
          <w:rFonts w:ascii="Arial" w:hAnsi="Arial" w:cs="Arial"/>
          <w:sz w:val="18"/>
          <w:szCs w:val="18"/>
        </w:rPr>
        <w:t xml:space="preserve"> (1953)</w:t>
      </w:r>
      <w:r w:rsidRPr="008F5CB1">
        <w:rPr>
          <w:rFonts w:ascii="Arial" w:hAnsi="Arial" w:cs="Arial"/>
          <w:sz w:val="18"/>
          <w:szCs w:val="18"/>
        </w:rPr>
        <w:t xml:space="preserve"> tiveram a participação significativa, inicialmente, de um Conselho Executivo formado pelos médicos </w:t>
      </w:r>
      <w:proofErr w:type="spellStart"/>
      <w:r w:rsidRPr="008F5CB1">
        <w:rPr>
          <w:rFonts w:ascii="Arial" w:hAnsi="Arial" w:cs="Arial"/>
          <w:sz w:val="18"/>
          <w:szCs w:val="18"/>
        </w:rPr>
        <w:t>Kronge</w:t>
      </w:r>
      <w:proofErr w:type="spellEnd"/>
      <w:r w:rsidRPr="008F5CB1">
        <w:rPr>
          <w:rFonts w:ascii="Arial" w:hAnsi="Arial" w:cs="Arial"/>
          <w:sz w:val="18"/>
          <w:szCs w:val="18"/>
        </w:rPr>
        <w:t xml:space="preserve"> Perdigão, </w:t>
      </w:r>
      <w:proofErr w:type="gramStart"/>
      <w:r w:rsidRPr="008F5CB1">
        <w:rPr>
          <w:rFonts w:ascii="Arial" w:hAnsi="Arial" w:cs="Arial"/>
          <w:sz w:val="18"/>
          <w:szCs w:val="18"/>
        </w:rPr>
        <w:t>Moura</w:t>
      </w:r>
      <w:proofErr w:type="gramEnd"/>
      <w:r w:rsidRPr="008F5CB1">
        <w:rPr>
          <w:rFonts w:ascii="Arial" w:hAnsi="Arial" w:cs="Arial"/>
          <w:sz w:val="18"/>
          <w:szCs w:val="18"/>
        </w:rPr>
        <w:t xml:space="preserve"> Tapajós e Djalma Batista onde posteriormente, o </w:t>
      </w:r>
      <w:proofErr w:type="spellStart"/>
      <w:r w:rsidRPr="008F5CB1">
        <w:rPr>
          <w:rFonts w:ascii="Arial" w:hAnsi="Arial" w:cs="Arial"/>
          <w:sz w:val="18"/>
          <w:szCs w:val="18"/>
        </w:rPr>
        <w:t>Dr.Kronge</w:t>
      </w:r>
      <w:proofErr w:type="spellEnd"/>
      <w:r w:rsidRPr="008F5CB1">
        <w:rPr>
          <w:rFonts w:ascii="Arial" w:hAnsi="Arial" w:cs="Arial"/>
          <w:sz w:val="18"/>
          <w:szCs w:val="18"/>
        </w:rPr>
        <w:t xml:space="preserve"> passa a atuar como primeiro diretor do Sanatório e os outros dois como diretores clínicos</w:t>
      </w:r>
      <w:r w:rsidR="008F5CB1" w:rsidRPr="008F5CB1">
        <w:rPr>
          <w:rFonts w:ascii="Arial" w:hAnsi="Arial" w:cs="Arial"/>
          <w:sz w:val="18"/>
          <w:szCs w:val="18"/>
        </w:rPr>
        <w:t>, o que muito contribuiu para o desenvolvimento desta pesquisa</w:t>
      </w:r>
      <w:r w:rsidRPr="008F5CB1">
        <w:rPr>
          <w:rFonts w:ascii="Arial" w:hAnsi="Arial" w:cs="Arial"/>
          <w:sz w:val="18"/>
          <w:szCs w:val="18"/>
        </w:rPr>
        <w:t>. Nesta perspectiva, considerando a importância do tema, a História foi relata</w:t>
      </w:r>
      <w:r w:rsidR="008F5CB1">
        <w:rPr>
          <w:rFonts w:ascii="Arial" w:hAnsi="Arial" w:cs="Arial"/>
          <w:sz w:val="18"/>
          <w:szCs w:val="18"/>
        </w:rPr>
        <w:t>da com fidelidade, compromisso,</w:t>
      </w:r>
      <w:r w:rsidRPr="008F5CB1">
        <w:rPr>
          <w:rFonts w:ascii="Arial" w:hAnsi="Arial" w:cs="Arial"/>
          <w:sz w:val="18"/>
          <w:szCs w:val="18"/>
        </w:rPr>
        <w:t xml:space="preserve"> lealdade</w:t>
      </w:r>
      <w:r w:rsidR="008F5CB1">
        <w:rPr>
          <w:rFonts w:ascii="Arial" w:hAnsi="Arial" w:cs="Arial"/>
          <w:sz w:val="18"/>
          <w:szCs w:val="18"/>
        </w:rPr>
        <w:t xml:space="preserve"> e ajuda mútua dos amigos e funcionários da Instituição,</w:t>
      </w:r>
      <w:r w:rsidRPr="008F5CB1">
        <w:rPr>
          <w:rFonts w:ascii="Arial" w:hAnsi="Arial" w:cs="Arial"/>
          <w:sz w:val="18"/>
          <w:szCs w:val="18"/>
        </w:rPr>
        <w:t xml:space="preserve"> no intuito de embasar a pesquisa na área de História da Saúde </w:t>
      </w:r>
      <w:r w:rsidR="008F5CB1" w:rsidRPr="008F5CB1">
        <w:rPr>
          <w:rFonts w:ascii="Arial" w:hAnsi="Arial" w:cs="Arial"/>
          <w:sz w:val="18"/>
          <w:szCs w:val="18"/>
        </w:rPr>
        <w:t>no Estado do Amazonas.</w:t>
      </w:r>
    </w:p>
    <w:p w:rsidR="008F5CB1" w:rsidRDefault="008F5CB1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B1BF8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Palavras-chave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: História da Saúde. Hospital Adriano Jorge. Sanatório</w:t>
      </w:r>
      <w:r w:rsidR="007B1BF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Saúde Pública.</w:t>
      </w:r>
    </w:p>
    <w:p w:rsidR="007B1BF8" w:rsidRDefault="007B1BF8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7B1BF8" w:rsidRPr="007B1BF8" w:rsidRDefault="00421983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1BF8" w:rsidRPr="007B1BF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INTRODUÇÃO</w:t>
      </w:r>
    </w:p>
    <w:p w:rsidR="007B1BF8" w:rsidRPr="007B1BF8" w:rsidRDefault="007B1BF8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7B1BF8" w:rsidRPr="007B1BF8" w:rsidRDefault="007B1BF8" w:rsidP="00421983">
      <w:pPr>
        <w:spacing w:after="0" w:line="360" w:lineRule="auto"/>
        <w:ind w:firstLine="1134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Para os funcionários pioneiros que ainda estão trabalhando e os aposentados, a realidade vivida pela Fundação Hospital Adriano Jorge, em épocas anteriores, foi fruto de um trabalho coletivo que se desenvolveu, contando com o apoio financeiro e direcional do Ministério da Saúde. Dentro dessa perspectiva, segundo depoimento de alguns funcionários, como Elizete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Moutinho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Fartolino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, que desde o início da História deste Hospital está conosco, desenvolvendo seu trabalho como Assistente Social, destacou-se a Laborterapia (Centro de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Reabilitação-Terapêutica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Ocupacional), onde os pacientes internados por um período de um a seis anos, desenvolveram atividades coletivas como marcenaria e artesanato em geral, exigindo uma dedicação exclusiva de um grupo de funcionários e pacientes que aprendiam entre si e uma professora remunerada. </w:t>
      </w:r>
    </w:p>
    <w:p w:rsidR="009E4BEF" w:rsidRDefault="007B1BF8" w:rsidP="00421983">
      <w:pPr>
        <w:spacing w:after="0" w:line="360" w:lineRule="auto"/>
        <w:ind w:firstLine="1134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As metas de trabalho desenvolvidas durante muitos anos, estabelecidas desde a época do Sanatório, tiveram a participação significativa, inicialmente, de um Conselho Executivo formado pelos Médicos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Kronge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Perdigão, Moura Tapajós e Djalma Batista, onde posteriormente, o Dr.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Kronge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passa a </w:t>
      </w: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lastRenderedPageBreak/>
        <w:t xml:space="preserve">atuar como primeiro Diretor do Sanatório e os outros dois como Diretores Clínicos. Depois, muitos outros médicos assumiram a Direção do Sanatório até tornar-se Fundação, como poderão ler na sequência da História nesse livro. </w:t>
      </w:r>
    </w:p>
    <w:p w:rsidR="007B1BF8" w:rsidRPr="007B1BF8" w:rsidRDefault="007B1BF8" w:rsidP="00421983">
      <w:pPr>
        <w:spacing w:after="0" w:line="360" w:lineRule="auto"/>
        <w:ind w:firstLine="1134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De acordo com o Editorial do Dr.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Klinger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do Areal Souto, no Boletim Informativo do Hospital Adriano Jorge, de maio/junho de 1988, vale a pena ressaltar que o primeiro grupo de funcionários para o desempenho de suas atividades no Sanatório foi rigidamente preparado, havendo, na ocasião, provas de seleção, realizadas no mês de abril, sob a coordenação da Dra.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Idalina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Campos (Nutricionista) e de seu esposo, o Médico Antonio Campos (ambos integrantes de uma equipe vinda do Rio de Janeiro para dar início aos trabalhos no Adriano Jorge), com</w:t>
      </w:r>
      <w:proofErr w:type="gram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 </w:t>
      </w:r>
      <w:proofErr w:type="gram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exigência posterior de um  estágio de três meses para todas as funções, sendo iniciado nas atividades profissionais em 01.07.1953.</w:t>
      </w:r>
    </w:p>
    <w:p w:rsidR="007B1BF8" w:rsidRPr="007B1BF8" w:rsidRDefault="007B1BF8" w:rsidP="00421983">
      <w:pPr>
        <w:spacing w:after="0" w:line="360" w:lineRule="auto"/>
        <w:ind w:firstLine="1134"/>
        <w:jc w:val="both"/>
        <w:rPr>
          <w:rFonts w:ascii="Arial" w:hAnsi="Arial" w:cs="Arial"/>
          <w:b/>
          <w:color w:val="1D1B11" w:themeColor="background2" w:themeShade="1A"/>
          <w:sz w:val="20"/>
          <w:szCs w:val="20"/>
        </w:rPr>
      </w:pP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Em razão dos grandes avanços e das descobertas do nível de drogas eficazes, o esquema de tratamento dos pacientes de tisiologia foi mudado, significando a diminuição do tempo de internação, o qual foi, paralelamente, dado ênfase ao tratamento ambulatorial, não havendo mais a necessidade de uma permanência prolongada no hospital. Aliado a isso, com a mudança da política de saúde no País, foram estabelecidas prioridades pela Campanha Nacional Contra a Tuberculose, para a internação de pacientes de Tisiologia para o tratamento hospitalar, a saber: hemoptise, estando grave que não permita o tratamento ambulatorial, intolerância medicamentosa; reduzindo assim o número de leitos para apenas 20, na Clínica Tisiológica. Com isso, naquela época, o Sanatório, ficou com grande parte da capacidade de seus leitos ociosa, o que ocasionou a criação da </w:t>
      </w:r>
      <w:proofErr w:type="spell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Co-Gestão</w:t>
      </w:r>
      <w:proofErr w:type="spell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entre o Ministério da Saúde, Ministério da Previdência e Assistência Social através do INAMPS e Secretaria de Estado da Saúde, que a partir de 1979 passou a funcionar como Hospital Geral Adriano Jorge, funcionando até hoje, agora, como Fundação,</w:t>
      </w:r>
      <w:proofErr w:type="gram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 </w:t>
      </w:r>
      <w:proofErr w:type="gram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atendendo os mais diversos casos de doenças.</w:t>
      </w:r>
    </w:p>
    <w:p w:rsidR="007B1BF8" w:rsidRPr="00421983" w:rsidRDefault="007B1BF8" w:rsidP="00421983">
      <w:pPr>
        <w:spacing w:after="0" w:line="360" w:lineRule="auto"/>
        <w:ind w:firstLine="1134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Para descrevermos melhor essa História, dividimos o</w:t>
      </w:r>
      <w:proofErr w:type="gram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 </w:t>
      </w:r>
      <w:proofErr w:type="gram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livro </w:t>
      </w:r>
      <w:r w:rsidR="00956637">
        <w:rPr>
          <w:rFonts w:ascii="Arial" w:hAnsi="Arial" w:cs="Arial"/>
          <w:color w:val="1D1B11" w:themeColor="background2" w:themeShade="1A"/>
          <w:sz w:val="20"/>
          <w:szCs w:val="20"/>
        </w:rPr>
        <w:t>em doze (12</w:t>
      </w: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) capítulos</w:t>
      </w:r>
      <w:r w:rsidR="00956637">
        <w:rPr>
          <w:rFonts w:ascii="Arial" w:hAnsi="Arial" w:cs="Arial"/>
          <w:color w:val="1D1B11" w:themeColor="background2" w:themeShade="1A"/>
          <w:sz w:val="20"/>
          <w:szCs w:val="20"/>
        </w:rPr>
        <w:t xml:space="preserve">, nos quais está relatada toda a História, Estrutura Organizacional desde a época do Sanatório, bem como algumas homenagens à alguns colegas, representando todos os funcionários do Hospital. </w:t>
      </w: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Nesta perspectiva, considerando tal importância, é que nos comprometemos em</w:t>
      </w:r>
      <w:proofErr w:type="gramStart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 </w:t>
      </w:r>
      <w:proofErr w:type="gramEnd"/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>relatar essa História de fidel</w:t>
      </w:r>
      <w:r w:rsidR="00956637">
        <w:rPr>
          <w:rFonts w:ascii="Arial" w:hAnsi="Arial" w:cs="Arial"/>
          <w:color w:val="1D1B11" w:themeColor="background2" w:themeShade="1A"/>
          <w:sz w:val="20"/>
          <w:szCs w:val="20"/>
        </w:rPr>
        <w:t>idade, compromisso,</w:t>
      </w: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lealdade</w:t>
      </w:r>
      <w:r w:rsidR="00956637">
        <w:rPr>
          <w:rFonts w:ascii="Arial" w:hAnsi="Arial" w:cs="Arial"/>
          <w:color w:val="1D1B11" w:themeColor="background2" w:themeShade="1A"/>
          <w:sz w:val="20"/>
          <w:szCs w:val="20"/>
        </w:rPr>
        <w:t xml:space="preserve"> e ajuda mútua de amigos e funcionários que contribuíram com informações importantes</w:t>
      </w:r>
      <w:r w:rsidRPr="007B1BF8">
        <w:rPr>
          <w:rFonts w:ascii="Arial" w:hAnsi="Arial" w:cs="Arial"/>
          <w:color w:val="1D1B11" w:themeColor="background2" w:themeShade="1A"/>
          <w:sz w:val="20"/>
          <w:szCs w:val="20"/>
        </w:rPr>
        <w:t xml:space="preserve"> que destaca a  Fundação Hospital Adriano Jorge diante da comunidade que dela necessita, ampliando, assim, o repertório da pesquisa na área de História da Saúde em nosso Estado.</w:t>
      </w:r>
    </w:p>
    <w:p w:rsidR="007B1BF8" w:rsidRPr="00A10487" w:rsidRDefault="00421983" w:rsidP="00421983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1BF8" w:rsidRPr="00A1048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METODOLOGIA</w:t>
      </w:r>
    </w:p>
    <w:p w:rsidR="003B3C23" w:rsidRDefault="003B3C23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9E4BEF" w:rsidRPr="00421983" w:rsidRDefault="003B3C23" w:rsidP="00421983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B94B7E">
        <w:rPr>
          <w:rFonts w:ascii="Arial" w:hAnsi="Arial" w:cs="Arial"/>
          <w:sz w:val="20"/>
          <w:szCs w:val="20"/>
        </w:rPr>
        <w:t xml:space="preserve">Este trabalho foi organizado em um enfoque teórico de </w:t>
      </w:r>
      <w:hyperlink r:id="rId7" w:history="1">
        <w:r w:rsidRPr="00B94B7E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revisão bibliográfica</w:t>
        </w:r>
      </w:hyperlink>
      <w:r w:rsidRPr="00B94B7E">
        <w:rPr>
          <w:rFonts w:ascii="Arial" w:hAnsi="Arial" w:cs="Arial"/>
          <w:sz w:val="20"/>
          <w:szCs w:val="20"/>
        </w:rPr>
        <w:t xml:space="preserve"> documental. Por se tratar de uma pesquisa descritiva, </w:t>
      </w:r>
      <w:proofErr w:type="gramStart"/>
      <w:r w:rsidRPr="00B94B7E">
        <w:rPr>
          <w:rFonts w:ascii="Arial" w:hAnsi="Arial" w:cs="Arial"/>
          <w:sz w:val="20"/>
          <w:szCs w:val="20"/>
        </w:rPr>
        <w:t>utilizou</w:t>
      </w:r>
      <w:r w:rsidR="00421983">
        <w:rPr>
          <w:rFonts w:ascii="Arial" w:hAnsi="Arial" w:cs="Arial"/>
          <w:sz w:val="20"/>
          <w:szCs w:val="20"/>
        </w:rPr>
        <w:t>-se</w:t>
      </w:r>
      <w:proofErr w:type="gramEnd"/>
      <w:r w:rsidR="00421983">
        <w:rPr>
          <w:rFonts w:ascii="Arial" w:hAnsi="Arial" w:cs="Arial"/>
          <w:sz w:val="20"/>
          <w:szCs w:val="20"/>
        </w:rPr>
        <w:t xml:space="preserve"> entrevistas informais com </w:t>
      </w:r>
      <w:r w:rsidRPr="00B94B7E">
        <w:rPr>
          <w:rFonts w:ascii="Arial" w:hAnsi="Arial" w:cs="Arial"/>
          <w:sz w:val="20"/>
          <w:szCs w:val="20"/>
        </w:rPr>
        <w:t>20 pessoas (funcionários e amigos) que conhecem a História do Hospital, além de análises em documentos, tais como: boletins informativos do próprio hospital, jornais da cidade, fotografias e outros recursos como revistas e  internet.</w:t>
      </w:r>
    </w:p>
    <w:p w:rsidR="007B1BF8" w:rsidRPr="00A10487" w:rsidRDefault="00421983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3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1BF8" w:rsidRPr="00A1048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FUNDAMENTAÇÃO TEÓRICA OU D</w:t>
      </w:r>
      <w:r w:rsidR="003B3C23" w:rsidRPr="00A1048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ISCUSSÕ</w:t>
      </w:r>
      <w:r w:rsidR="007B1BF8" w:rsidRPr="00A1048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ES</w:t>
      </w:r>
    </w:p>
    <w:p w:rsidR="00B94B7E" w:rsidRDefault="00B94B7E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</w:pPr>
    </w:p>
    <w:p w:rsidR="00B94B7E" w:rsidRPr="00B94B7E" w:rsidRDefault="00B94B7E" w:rsidP="00421983">
      <w:pPr>
        <w:tabs>
          <w:tab w:val="left" w:pos="2981"/>
        </w:tabs>
        <w:spacing w:after="0" w:line="360" w:lineRule="auto"/>
        <w:ind w:firstLine="1134"/>
        <w:jc w:val="both"/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</w:pPr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Há muito, que na Cidade de Manaus, médicos renomados, vem lutando para combater a tuberculose, clamando por melhorias na saúde, por criação de políticas públicas que contribuíssem para amenizar o fluxo da doença. Em 1943, de acordo com o Dr. Djalma da Cunha Batista, a História da tuberculose, mais do que qualquer outra doença, servia para demonstrar o que ele chamou de “descuido </w:t>
      </w:r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lastRenderedPageBreak/>
        <w:t>administrativo”: “É preciso que sejamos sinceros, e não calemos o registro do menosprezo com que vem sendo encarado aqui o problema das afecções pulmonares, pelos poderes administrativos”.</w:t>
      </w:r>
    </w:p>
    <w:p w:rsidR="00B94B7E" w:rsidRPr="00B94B7E" w:rsidRDefault="00B94B7E" w:rsidP="00421983">
      <w:pPr>
        <w:shd w:val="clear" w:color="auto" w:fill="FFFFFF" w:themeFill="background1"/>
        <w:spacing w:after="0" w:line="360" w:lineRule="auto"/>
        <w:ind w:firstLine="1134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Era tão grave a situação da tuberculose em Manaus, que o</w:t>
      </w:r>
      <w:proofErr w:type="gramStart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  </w:t>
      </w:r>
      <w:proofErr w:type="gramEnd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Dr. Djalma Batista relatou em um de seus trabalhos: “Morreram 44 tuberculosos em Manaus em 1900. Daí em diante a curva da mortalidade foi subindo até atingir, em 1943, a casa de 290. Para uma população (zona urbana, a que se referem os dados do registro civil) de pouco mais de 70.000 habitantes, o coeficiente respectivo há muitos anos se acha acima de 400 óbitos por 100.000 pessoas, o que representa um ponto culminante na epidemiologia da doença” (DJALMA BATISTA, 1947.</w:t>
      </w:r>
    </w:p>
    <w:p w:rsidR="00B94B7E" w:rsidRPr="00B94B7E" w:rsidRDefault="00B94B7E" w:rsidP="00421983">
      <w:pPr>
        <w:tabs>
          <w:tab w:val="left" w:pos="2981"/>
        </w:tabs>
        <w:spacing w:after="0" w:line="360" w:lineRule="auto"/>
        <w:ind w:firstLine="1134"/>
        <w:jc w:val="both"/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</w:pPr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Em 1942, por iniciativa do interventor do Estado, Dr. Álvaro Botelho Maia, foi doado um terreno na Rua Lobo D’ </w:t>
      </w:r>
      <w:proofErr w:type="spellStart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Almada</w:t>
      </w:r>
      <w:proofErr w:type="spellEnd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, no Centro, para que a Liga Amazonense Contra a Tuberculose, tivesse sua sede própria, nesta época o Secretário de Estado, Dr. Rui Araújo e Secretário de Saúde, Dr. Aluir Pedreira. A equipe médica da Liga Amazonense Contra a Tuberculose idealizou o Dispensário Cardoso Fontes (professor e doutor Antônio Cardoso Fontes-1879-1943- Petrópolis/RJ). Com a participação da população e da Prefeitura de Manaus, iniciou-se a construção da sede do Dispensário, que durou </w:t>
      </w:r>
      <w:proofErr w:type="gramStart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4</w:t>
      </w:r>
      <w:proofErr w:type="gramEnd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 anos (1942-1946), com o custo na época de 460 contos de réis (Centro de Referência Especializado em Pneumonia Sanitária “Cardoso Fontes”, 1998). </w:t>
      </w:r>
    </w:p>
    <w:p w:rsidR="003B3C23" w:rsidRPr="00421983" w:rsidRDefault="00B94B7E" w:rsidP="00421983">
      <w:pPr>
        <w:tabs>
          <w:tab w:val="left" w:pos="2981"/>
        </w:tabs>
        <w:spacing w:line="360" w:lineRule="auto"/>
        <w:ind w:firstLine="1134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A luta ao combate da tuberculose continua. Foi criado o Sanatório Adriano Jorge, graças à luta incansável e ao esforço de vários médicos, como: Djalma Batista, Moura Tapajós, Waldir </w:t>
      </w:r>
      <w:proofErr w:type="spellStart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Vieiralves</w:t>
      </w:r>
      <w:proofErr w:type="spellEnd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, Jorge de Moraes, dentre outros.</w:t>
      </w:r>
      <w:r w:rsidRPr="00B94B7E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Hoje, o então</w:t>
      </w:r>
      <w:proofErr w:type="gramStart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  </w:t>
      </w:r>
      <w:proofErr w:type="gramEnd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Sanatório, depois Hospital Geral Adriano Jorge, tornou-se Fundação Hospital Adriano Jorge, com possibilidades  abertas para as inovações no campo da clínica e das técnicas cirúrgicas, com o olhar voltado para o ser humano, voltado para a pesquisa. Tornou-se</w:t>
      </w:r>
      <w:proofErr w:type="gramStart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 xml:space="preserve">  </w:t>
      </w:r>
      <w:proofErr w:type="gramEnd"/>
      <w:r w:rsidRPr="00B94B7E"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um Hospital de Ensino de referência, não só em Manaus, mas no mundo inteiro. Trata, não só a tuberculose, mas diversas doença</w:t>
      </w:r>
      <w:r>
        <w:rPr>
          <w:rStyle w:val="paginatexto"/>
          <w:rFonts w:ascii="Arial" w:hAnsi="Arial" w:cs="Arial"/>
          <w:color w:val="1D1B11" w:themeColor="background2" w:themeShade="1A"/>
          <w:sz w:val="20"/>
          <w:szCs w:val="20"/>
        </w:rPr>
        <w:t>s.</w:t>
      </w:r>
    </w:p>
    <w:p w:rsidR="00A10487" w:rsidRPr="00EC2C70" w:rsidRDefault="00421983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C2C7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4</w:t>
      </w:r>
      <w:proofErr w:type="gramEnd"/>
      <w:r w:rsidRPr="00EC2C7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1BF8" w:rsidRPr="00EC2C7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CONSIDERAÇÕES FINAIS</w:t>
      </w:r>
    </w:p>
    <w:p w:rsidR="007B1BF8" w:rsidRDefault="007B1BF8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</w:pPr>
      <w:r w:rsidRPr="00B94B7E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A10487" w:rsidRPr="00A10487" w:rsidRDefault="00A10487" w:rsidP="00421983">
      <w:pPr>
        <w:shd w:val="clear" w:color="auto" w:fill="FFFFFF" w:themeFill="background1"/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104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Hoje, o Hospital Adriano Jorge é considerado um grande Hospital de referência</w:t>
      </w:r>
      <w:proofErr w:type="gramStart"/>
      <w:r w:rsidRPr="00A104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gramEnd"/>
      <w:r w:rsidRPr="00A104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assistencial em todo o Estado do Amazonas, realizando em média </w:t>
      </w:r>
      <w:r w:rsidRPr="00A10487">
        <w:rPr>
          <w:rFonts w:ascii="Arial" w:hAnsi="Arial" w:cs="Arial"/>
          <w:color w:val="1D1B11" w:themeColor="background2" w:themeShade="1A"/>
          <w:sz w:val="20"/>
          <w:szCs w:val="20"/>
        </w:rPr>
        <w:t>mais de 3.291.868 atendimentos, sendo 546.593 Consultas Especializadas, 31.546 Cirurgias de Média e alta Complexidade,</w:t>
      </w:r>
      <w:r>
        <w:rPr>
          <w:rFonts w:ascii="Arial" w:hAnsi="Arial" w:cs="Arial"/>
          <w:color w:val="1D1B11" w:themeColor="background2" w:themeShade="1A"/>
          <w:sz w:val="20"/>
          <w:szCs w:val="20"/>
        </w:rPr>
        <w:t xml:space="preserve"> Transplantes de fígado (até junho de 2015, já realizou 06 transplantes bem sucedidos)</w:t>
      </w:r>
      <w:r w:rsidRPr="00A10487">
        <w:rPr>
          <w:rFonts w:ascii="Arial" w:hAnsi="Arial" w:cs="Arial"/>
          <w:color w:val="1D1B11" w:themeColor="background2" w:themeShade="1A"/>
          <w:sz w:val="20"/>
          <w:szCs w:val="20"/>
        </w:rPr>
        <w:t xml:space="preserve"> 46.273 Internações, 520.050 Procedimentos de Fisioterapia, 1.191.748 Exames de Análises Clínicas, 689.933 de Imagem e Grafia (</w:t>
      </w:r>
      <w:proofErr w:type="spellStart"/>
      <w:r w:rsidRPr="00A10487">
        <w:rPr>
          <w:rFonts w:ascii="Arial" w:hAnsi="Arial" w:cs="Arial"/>
          <w:color w:val="1D1B11" w:themeColor="background2" w:themeShade="1A"/>
          <w:sz w:val="20"/>
          <w:szCs w:val="20"/>
        </w:rPr>
        <w:t>Rádiodiagnóstico</w:t>
      </w:r>
      <w:proofErr w:type="spellEnd"/>
      <w:r w:rsidRPr="00A10487">
        <w:rPr>
          <w:rFonts w:ascii="Arial" w:hAnsi="Arial" w:cs="Arial"/>
          <w:color w:val="1D1B11" w:themeColor="background2" w:themeShade="1A"/>
          <w:sz w:val="20"/>
          <w:szCs w:val="20"/>
        </w:rPr>
        <w:t>, Tomografia Computadorizada, Ressonância Magnética, Eletrocardiograma, Ultrassonografia)</w:t>
      </w:r>
      <w:r>
        <w:rPr>
          <w:rFonts w:ascii="Arial" w:hAnsi="Arial" w:cs="Arial"/>
          <w:color w:val="1D1B11" w:themeColor="background2" w:themeShade="1A"/>
          <w:sz w:val="20"/>
          <w:szCs w:val="20"/>
        </w:rPr>
        <w:t>. Outros procedimentos</w:t>
      </w:r>
      <w:r w:rsidRPr="00A10487">
        <w:rPr>
          <w:rFonts w:ascii="Arial" w:hAnsi="Arial" w:cs="Arial"/>
          <w:color w:val="1D1B11" w:themeColor="background2" w:themeShade="1A"/>
          <w:sz w:val="20"/>
          <w:szCs w:val="20"/>
        </w:rPr>
        <w:t xml:space="preserve">, os quais envolvem </w:t>
      </w:r>
      <w:proofErr w:type="spellStart"/>
      <w:r w:rsidRPr="00A10487">
        <w:rPr>
          <w:rFonts w:ascii="Arial" w:hAnsi="Arial" w:cs="Arial"/>
          <w:color w:val="1D1B11" w:themeColor="background2" w:themeShade="1A"/>
          <w:sz w:val="20"/>
          <w:szCs w:val="20"/>
        </w:rPr>
        <w:t>órteses</w:t>
      </w:r>
      <w:proofErr w:type="spellEnd"/>
      <w:r w:rsidRPr="00A10487">
        <w:rPr>
          <w:rFonts w:ascii="Arial" w:hAnsi="Arial" w:cs="Arial"/>
          <w:color w:val="1D1B11" w:themeColor="background2" w:themeShade="1A"/>
          <w:sz w:val="20"/>
          <w:szCs w:val="20"/>
        </w:rPr>
        <w:t xml:space="preserve"> (material de síntese cirúrgica) e próteses num total de 1.084, 263.308 distribuídos em atendimentos de Psicologia e Serviço Social e 1.333 taxa externa e captação de córneas.</w:t>
      </w:r>
      <w:r w:rsidR="004641DA">
        <w:rPr>
          <w:rFonts w:ascii="Arial" w:hAnsi="Arial" w:cs="Arial"/>
          <w:color w:val="1D1B11" w:themeColor="background2" w:themeShade="1A"/>
          <w:sz w:val="20"/>
          <w:szCs w:val="20"/>
        </w:rPr>
        <w:t xml:space="preserve"> Esta pesquisa foi transformada em um livro, o qual será publicado brevemente.</w:t>
      </w:r>
    </w:p>
    <w:p w:rsidR="00B94B7E" w:rsidRPr="00B94B7E" w:rsidRDefault="00B94B7E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</w:pPr>
    </w:p>
    <w:p w:rsidR="007B1BF8" w:rsidRDefault="00421983" w:rsidP="00BA387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5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1BF8" w:rsidRPr="00A1048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REFERÊNCIAS</w:t>
      </w:r>
    </w:p>
    <w:p w:rsidR="00421983" w:rsidRDefault="00421983" w:rsidP="00277B3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A10487" w:rsidRPr="00421983" w:rsidRDefault="00A10487" w:rsidP="00277B33">
      <w:pPr>
        <w:tabs>
          <w:tab w:val="left" w:pos="5353"/>
        </w:tabs>
        <w:spacing w:line="240" w:lineRule="auto"/>
        <w:jc w:val="both"/>
        <w:rPr>
          <w:rFonts w:ascii="Arial" w:hAnsi="Arial" w:cs="Arial"/>
          <w:color w:val="1D1B11" w:themeColor="background2" w:themeShade="1A"/>
          <w:sz w:val="20"/>
          <w:szCs w:val="20"/>
          <w:lang w:val="en-US"/>
        </w:rPr>
      </w:pPr>
      <w:r w:rsidRPr="00421983">
        <w:rPr>
          <w:rFonts w:ascii="Arial" w:hAnsi="Arial" w:cs="Arial"/>
          <w:color w:val="1D1B11" w:themeColor="background2" w:themeShade="1A"/>
          <w:sz w:val="20"/>
          <w:szCs w:val="20"/>
        </w:rPr>
        <w:t xml:space="preserve">GALVÃO, Manuel Dias. </w:t>
      </w:r>
      <w:r w:rsidRPr="00421983">
        <w:rPr>
          <w:rFonts w:ascii="Arial" w:hAnsi="Arial" w:cs="Arial"/>
          <w:b/>
          <w:color w:val="1D1B11" w:themeColor="background2" w:themeShade="1A"/>
          <w:sz w:val="20"/>
          <w:szCs w:val="20"/>
        </w:rPr>
        <w:t>História da medicina em Manaus</w:t>
      </w:r>
      <w:r w:rsidRPr="00421983">
        <w:rPr>
          <w:rFonts w:ascii="Arial" w:hAnsi="Arial" w:cs="Arial"/>
          <w:color w:val="1D1B11" w:themeColor="background2" w:themeShade="1A"/>
          <w:sz w:val="20"/>
          <w:szCs w:val="20"/>
        </w:rPr>
        <w:t xml:space="preserve">. </w:t>
      </w:r>
      <w:r w:rsidRPr="00421983">
        <w:rPr>
          <w:rFonts w:ascii="Arial" w:hAnsi="Arial" w:cs="Arial"/>
          <w:color w:val="1D1B11" w:themeColor="background2" w:themeShade="1A"/>
          <w:sz w:val="20"/>
          <w:szCs w:val="20"/>
          <w:lang w:val="en-US"/>
        </w:rPr>
        <w:t xml:space="preserve">Manaus: </w:t>
      </w:r>
      <w:proofErr w:type="spellStart"/>
      <w:r w:rsidRPr="00421983">
        <w:rPr>
          <w:rFonts w:ascii="Arial" w:hAnsi="Arial" w:cs="Arial"/>
          <w:color w:val="1D1B11" w:themeColor="background2" w:themeShade="1A"/>
          <w:sz w:val="20"/>
          <w:szCs w:val="20"/>
          <w:lang w:val="en-US"/>
        </w:rPr>
        <w:t>Editora</w:t>
      </w:r>
      <w:proofErr w:type="spellEnd"/>
      <w:r w:rsidRPr="00421983">
        <w:rPr>
          <w:rFonts w:ascii="Arial" w:hAnsi="Arial" w:cs="Arial"/>
          <w:color w:val="1D1B11" w:themeColor="background2" w:themeShade="1A"/>
          <w:sz w:val="20"/>
          <w:szCs w:val="20"/>
          <w:lang w:val="en-US"/>
        </w:rPr>
        <w:t xml:space="preserve"> VALER, 2003.</w:t>
      </w:r>
    </w:p>
    <w:p w:rsidR="00A10487" w:rsidRPr="00421983" w:rsidRDefault="00A10487" w:rsidP="00277B33">
      <w:pPr>
        <w:tabs>
          <w:tab w:val="left" w:pos="5353"/>
        </w:tabs>
        <w:spacing w:line="240" w:lineRule="auto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EC2C70">
        <w:rPr>
          <w:rFonts w:ascii="Arial" w:hAnsi="Arial" w:cs="Arial"/>
          <w:iCs/>
          <w:color w:val="1D1B11" w:themeColor="background2" w:themeShade="1A"/>
          <w:sz w:val="20"/>
          <w:szCs w:val="20"/>
        </w:rPr>
        <w:t xml:space="preserve">BITTENCOURT, </w:t>
      </w:r>
      <w:proofErr w:type="spellStart"/>
      <w:r w:rsidRPr="00EC2C70">
        <w:rPr>
          <w:rFonts w:ascii="Arial" w:hAnsi="Arial" w:cs="Arial"/>
          <w:iCs/>
          <w:color w:val="1D1B11" w:themeColor="background2" w:themeShade="1A"/>
          <w:sz w:val="20"/>
          <w:szCs w:val="20"/>
        </w:rPr>
        <w:t>Agnello</w:t>
      </w:r>
      <w:proofErr w:type="spellEnd"/>
      <w:r w:rsidRPr="00EC2C70">
        <w:rPr>
          <w:rFonts w:ascii="Arial" w:hAnsi="Arial" w:cs="Arial"/>
          <w:iCs/>
          <w:color w:val="1D1B11" w:themeColor="background2" w:themeShade="1A"/>
          <w:sz w:val="20"/>
          <w:szCs w:val="20"/>
        </w:rPr>
        <w:t xml:space="preserve">. </w:t>
      </w:r>
      <w:r w:rsidRPr="00421983">
        <w:rPr>
          <w:rFonts w:ascii="Arial" w:hAnsi="Arial" w:cs="Arial"/>
          <w:b/>
          <w:iCs/>
          <w:color w:val="1D1B11" w:themeColor="background2" w:themeShade="1A"/>
          <w:sz w:val="20"/>
          <w:szCs w:val="20"/>
        </w:rPr>
        <w:t>Dicionário amazonense de biografias</w:t>
      </w:r>
      <w:r w:rsidRPr="00421983">
        <w:rPr>
          <w:rFonts w:ascii="Arial" w:hAnsi="Arial" w:cs="Arial"/>
          <w:iCs/>
          <w:color w:val="1D1B11" w:themeColor="background2" w:themeShade="1A"/>
          <w:sz w:val="20"/>
          <w:szCs w:val="20"/>
        </w:rPr>
        <w:t>: vultos do passado</w:t>
      </w:r>
      <w:r w:rsidRPr="00421983">
        <w:rPr>
          <w:rFonts w:ascii="Arial" w:hAnsi="Arial" w:cs="Arial"/>
          <w:color w:val="1D1B11" w:themeColor="background2" w:themeShade="1A"/>
          <w:sz w:val="20"/>
          <w:szCs w:val="20"/>
        </w:rPr>
        <w:t xml:space="preserve">. Rio de Janeiro: Ed. </w:t>
      </w:r>
      <w:proofErr w:type="gramStart"/>
      <w:r w:rsidRPr="00421983">
        <w:rPr>
          <w:rFonts w:ascii="Arial" w:hAnsi="Arial" w:cs="Arial"/>
          <w:color w:val="1D1B11" w:themeColor="background2" w:themeShade="1A"/>
          <w:sz w:val="20"/>
          <w:szCs w:val="20"/>
        </w:rPr>
        <w:t>Conquista,</w:t>
      </w:r>
      <w:proofErr w:type="gramEnd"/>
      <w:r w:rsidRPr="00421983">
        <w:rPr>
          <w:rFonts w:ascii="Arial" w:hAnsi="Arial" w:cs="Arial"/>
          <w:color w:val="1D1B11" w:themeColor="background2" w:themeShade="1A"/>
          <w:sz w:val="20"/>
          <w:szCs w:val="20"/>
        </w:rPr>
        <w:t xml:space="preserve"> 1973.</w:t>
      </w:r>
    </w:p>
    <w:p w:rsidR="00A10487" w:rsidRPr="00421983" w:rsidRDefault="00A10487" w:rsidP="00421983">
      <w:pPr>
        <w:tabs>
          <w:tab w:val="left" w:pos="5353"/>
        </w:tabs>
        <w:spacing w:line="360" w:lineRule="auto"/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421983">
        <w:rPr>
          <w:rFonts w:ascii="Arial" w:hAnsi="Arial" w:cs="Arial"/>
          <w:color w:val="1D1B11" w:themeColor="background2" w:themeShade="1A"/>
          <w:sz w:val="20"/>
          <w:szCs w:val="20"/>
        </w:rPr>
        <w:t xml:space="preserve">BATISTA, Djalma. </w:t>
      </w:r>
      <w:r w:rsidRPr="00421983">
        <w:rPr>
          <w:rFonts w:ascii="Arial" w:hAnsi="Arial" w:cs="Arial"/>
          <w:b/>
          <w:color w:val="1D1B11" w:themeColor="background2" w:themeShade="1A"/>
          <w:sz w:val="20"/>
          <w:szCs w:val="20"/>
        </w:rPr>
        <w:t>A equação da tuberculose em Manaus</w:t>
      </w:r>
      <w:r w:rsidRPr="00421983">
        <w:rPr>
          <w:rFonts w:ascii="Arial" w:hAnsi="Arial" w:cs="Arial"/>
          <w:color w:val="1D1B11" w:themeColor="background2" w:themeShade="1A"/>
          <w:sz w:val="20"/>
          <w:szCs w:val="20"/>
        </w:rPr>
        <w:t>. Manaus: DEIP, p. 17-18, 1943.</w:t>
      </w:r>
    </w:p>
    <w:sectPr w:rsidR="00A10487" w:rsidRPr="00421983" w:rsidSect="00295BC0">
      <w:footerReference w:type="first" r:id="rId8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59" w:rsidRDefault="00311B59" w:rsidP="00295BC0">
      <w:pPr>
        <w:spacing w:after="0" w:line="240" w:lineRule="auto"/>
      </w:pPr>
      <w:r>
        <w:separator/>
      </w:r>
    </w:p>
  </w:endnote>
  <w:endnote w:type="continuationSeparator" w:id="0">
    <w:p w:rsidR="00311B59" w:rsidRDefault="00311B59" w:rsidP="0029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C0" w:rsidRPr="008F5CB1" w:rsidRDefault="00295BC0" w:rsidP="00295BC0">
    <w:pPr>
      <w:spacing w:after="0" w:line="240" w:lineRule="auto"/>
      <w:jc w:val="both"/>
      <w:rPr>
        <w:rFonts w:ascii="Arial" w:hAnsi="Arial" w:cs="Arial"/>
        <w:color w:val="1D1B11" w:themeColor="background2" w:themeShade="1A"/>
        <w:sz w:val="20"/>
        <w:szCs w:val="20"/>
      </w:rPr>
    </w:pPr>
    <w:proofErr w:type="gramStart"/>
    <w:r w:rsidRPr="008F5CB1">
      <w:rPr>
        <w:rFonts w:ascii="Arial" w:hAnsi="Arial" w:cs="Arial"/>
        <w:color w:val="1D1B11" w:themeColor="background2" w:themeShade="1A"/>
        <w:sz w:val="20"/>
        <w:szCs w:val="20"/>
        <w:vertAlign w:val="superscript"/>
      </w:rPr>
      <w:t>1</w:t>
    </w:r>
    <w:r w:rsidRPr="008F5CB1">
      <w:rPr>
        <w:rFonts w:ascii="Arial" w:hAnsi="Arial" w:cs="Arial"/>
        <w:color w:val="1D1B11" w:themeColor="background2" w:themeShade="1A"/>
        <w:sz w:val="20"/>
        <w:szCs w:val="20"/>
      </w:rPr>
      <w:t>Projeto</w:t>
    </w:r>
    <w:proofErr w:type="gramEnd"/>
    <w:r w:rsidRPr="008F5CB1">
      <w:rPr>
        <w:rFonts w:ascii="Arial" w:hAnsi="Arial" w:cs="Arial"/>
        <w:color w:val="1D1B11" w:themeColor="background2" w:themeShade="1A"/>
        <w:sz w:val="20"/>
        <w:szCs w:val="20"/>
      </w:rPr>
      <w:t xml:space="preserve"> de Pesquisa vinculado ao Programa de Apoio à Iniciação Científica (PAIC) da Fundação Hospital Adriano Jorge, desenvolvido com o apoio da FAPEAM/AM;</w:t>
    </w:r>
  </w:p>
  <w:p w:rsidR="00295BC0" w:rsidRPr="008F5CB1" w:rsidRDefault="00295BC0" w:rsidP="00295BC0">
    <w:pPr>
      <w:spacing w:after="0" w:line="240" w:lineRule="auto"/>
      <w:jc w:val="both"/>
      <w:rPr>
        <w:rFonts w:ascii="Arial" w:hAnsi="Arial" w:cs="Arial"/>
        <w:color w:val="1D1B11" w:themeColor="background2" w:themeShade="1A"/>
        <w:sz w:val="20"/>
        <w:szCs w:val="20"/>
      </w:rPr>
    </w:pPr>
    <w:proofErr w:type="gramStart"/>
    <w:r w:rsidRPr="008F5CB1">
      <w:rPr>
        <w:rFonts w:ascii="Arial" w:hAnsi="Arial" w:cs="Arial"/>
        <w:color w:val="1D1B11" w:themeColor="background2" w:themeShade="1A"/>
        <w:sz w:val="20"/>
        <w:szCs w:val="20"/>
        <w:vertAlign w:val="superscript"/>
      </w:rPr>
      <w:t>2</w:t>
    </w:r>
    <w:proofErr w:type="gramEnd"/>
    <w:r w:rsidRPr="008F5CB1">
      <w:rPr>
        <w:rFonts w:ascii="Arial" w:hAnsi="Arial" w:cs="Arial"/>
        <w:color w:val="1D1B11" w:themeColor="background2" w:themeShade="1A"/>
        <w:sz w:val="20"/>
        <w:szCs w:val="20"/>
        <w:vertAlign w:val="superscript"/>
      </w:rPr>
      <w:t xml:space="preserve"> </w:t>
    </w:r>
    <w:r w:rsidRPr="008F5CB1">
      <w:rPr>
        <w:rFonts w:ascii="Arial" w:hAnsi="Arial" w:cs="Arial"/>
        <w:color w:val="1D1B11" w:themeColor="background2" w:themeShade="1A"/>
        <w:sz w:val="20"/>
        <w:szCs w:val="20"/>
      </w:rPr>
      <w:t>Orientadora do Projeto, Mestre em Educação pela Universidade Federal do Amazonas (2006);</w:t>
    </w:r>
  </w:p>
  <w:p w:rsidR="00295BC0" w:rsidRPr="008F5CB1" w:rsidRDefault="00295BC0" w:rsidP="00295BC0">
    <w:pPr>
      <w:spacing w:after="0" w:line="240" w:lineRule="auto"/>
      <w:jc w:val="both"/>
      <w:rPr>
        <w:rFonts w:ascii="Arial" w:hAnsi="Arial" w:cs="Arial"/>
        <w:color w:val="1D1B11" w:themeColor="background2" w:themeShade="1A"/>
        <w:sz w:val="20"/>
        <w:szCs w:val="20"/>
      </w:rPr>
    </w:pPr>
    <w:proofErr w:type="gramStart"/>
    <w:r w:rsidRPr="008F5CB1">
      <w:rPr>
        <w:rFonts w:ascii="Arial" w:hAnsi="Arial" w:cs="Arial"/>
        <w:color w:val="1D1B11" w:themeColor="background2" w:themeShade="1A"/>
        <w:sz w:val="20"/>
        <w:szCs w:val="20"/>
        <w:vertAlign w:val="superscript"/>
      </w:rPr>
      <w:t>3</w:t>
    </w:r>
    <w:proofErr w:type="gramEnd"/>
    <w:r w:rsidRPr="008F5CB1">
      <w:rPr>
        <w:rFonts w:ascii="Arial" w:hAnsi="Arial" w:cs="Arial"/>
        <w:color w:val="1D1B11" w:themeColor="background2" w:themeShade="1A"/>
        <w:sz w:val="20"/>
        <w:szCs w:val="20"/>
      </w:rPr>
      <w:t xml:space="preserve"> Acadêmica do Curso de Medicina da Universidade do Estado do Amazonas (UEA), Bolsista do Projeto (PAIC/FAPEAM) em 2012/2013;</w:t>
    </w:r>
  </w:p>
  <w:p w:rsidR="00295BC0" w:rsidRPr="008F5CB1" w:rsidRDefault="00295BC0" w:rsidP="00295BC0">
    <w:pPr>
      <w:spacing w:after="0" w:line="240" w:lineRule="auto"/>
      <w:jc w:val="both"/>
      <w:rPr>
        <w:rFonts w:ascii="Arial" w:hAnsi="Arial" w:cs="Arial"/>
        <w:color w:val="1D1B11" w:themeColor="background2" w:themeShade="1A"/>
        <w:sz w:val="20"/>
        <w:szCs w:val="20"/>
      </w:rPr>
    </w:pPr>
    <w:proofErr w:type="gramStart"/>
    <w:r w:rsidRPr="008F5CB1">
      <w:rPr>
        <w:rFonts w:ascii="Arial" w:hAnsi="Arial" w:cs="Arial"/>
        <w:b/>
        <w:sz w:val="20"/>
        <w:szCs w:val="20"/>
        <w:vertAlign w:val="superscript"/>
      </w:rPr>
      <w:t>4</w:t>
    </w:r>
    <w:proofErr w:type="gramEnd"/>
    <w:r w:rsidRPr="008F5CB1">
      <w:rPr>
        <w:rFonts w:ascii="Arial" w:hAnsi="Arial" w:cs="Arial"/>
        <w:b/>
        <w:sz w:val="20"/>
        <w:szCs w:val="20"/>
      </w:rPr>
      <w:t xml:space="preserve"> </w:t>
    </w:r>
    <w:r w:rsidRPr="008F5CB1">
      <w:rPr>
        <w:rFonts w:ascii="Arial" w:hAnsi="Arial" w:cs="Arial"/>
        <w:color w:val="1D1B11" w:themeColor="background2" w:themeShade="1A"/>
        <w:sz w:val="20"/>
        <w:szCs w:val="20"/>
      </w:rPr>
      <w:t>Acadêmica do Curso de Medicina da Universidade do Estado do Amazonas (UEA), Bolsista do Projeto (PAIC/FAPEAM) em 2013/2014;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000000"/>
        <w:sz w:val="20"/>
        <w:szCs w:val="20"/>
        <w:shd w:val="clear" w:color="auto" w:fill="FFFFFF" w:themeFill="background1"/>
      </w:rPr>
    </w:pPr>
    <w:proofErr w:type="gramStart"/>
    <w:r w:rsidRPr="008F5CB1">
      <w:rPr>
        <w:rFonts w:ascii="Arial" w:hAnsi="Arial" w:cs="Arial"/>
        <w:color w:val="1D1B11" w:themeColor="background2" w:themeShade="1A"/>
        <w:sz w:val="20"/>
        <w:szCs w:val="20"/>
        <w:vertAlign w:val="superscript"/>
      </w:rPr>
      <w:t>5</w:t>
    </w:r>
    <w:proofErr w:type="gramEnd"/>
    <w:r w:rsidRPr="008F5CB1">
      <w:rPr>
        <w:rFonts w:ascii="Tahoma" w:hAnsi="Tahoma" w:cs="Tahoma"/>
        <w:color w:val="000000"/>
        <w:sz w:val="20"/>
        <w:szCs w:val="20"/>
        <w:shd w:val="clear" w:color="auto" w:fill="FFFFFF" w:themeFill="background1"/>
      </w:rPr>
      <w:t xml:space="preserve"> </w:t>
    </w:r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>Especialização em História da Saúde na Amazônia (FIOCRUZ, 2011);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000000"/>
        <w:sz w:val="20"/>
        <w:szCs w:val="20"/>
        <w:shd w:val="clear" w:color="auto" w:fill="FFFFFF" w:themeFill="background1"/>
      </w:rPr>
    </w:pPr>
    <w:proofErr w:type="gramStart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  <w:vertAlign w:val="superscript"/>
      </w:rPr>
      <w:t>6</w:t>
    </w:r>
    <w:proofErr w:type="gramEnd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 xml:space="preserve"> Doutor em Medicina (</w:t>
    </w:r>
    <w:proofErr w:type="spellStart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>Gastroenterologia</w:t>
    </w:r>
    <w:proofErr w:type="spellEnd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 xml:space="preserve"> e Hepatologia) pela Universidade Federal do Rio de Janeiro (UFRJ, 2012);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000000" w:themeColor="text1"/>
        <w:sz w:val="20"/>
        <w:szCs w:val="20"/>
        <w:shd w:val="clear" w:color="auto" w:fill="FFFFFF"/>
      </w:rPr>
    </w:pPr>
    <w:proofErr w:type="gramStart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  <w:vertAlign w:val="superscript"/>
      </w:rPr>
      <w:t>7</w:t>
    </w:r>
    <w:proofErr w:type="gramEnd"/>
    <w:r w:rsidRPr="008F5CB1">
      <w:rPr>
        <w:rFonts w:ascii="Arial" w:hAnsi="Arial" w:cs="Arial"/>
        <w:color w:val="000000"/>
        <w:sz w:val="20"/>
        <w:szCs w:val="20"/>
        <w:shd w:val="clear" w:color="auto" w:fill="E1EAF2"/>
      </w:rPr>
      <w:t xml:space="preserve"> </w:t>
    </w:r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Mestrado em Saúde Pública.</w:t>
    </w:r>
    <w:r w:rsidRPr="008F5CB1">
      <w:rPr>
        <w:rStyle w:val="apple-converted-space"/>
        <w:rFonts w:ascii="Arial" w:hAnsi="Arial" w:cs="Arial"/>
        <w:color w:val="000000" w:themeColor="text1"/>
        <w:sz w:val="20"/>
        <w:szCs w:val="20"/>
        <w:shd w:val="clear" w:color="auto" w:fill="FFFFFF"/>
      </w:rPr>
      <w:t> </w:t>
    </w:r>
    <w:proofErr w:type="spell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University</w:t>
    </w:r>
    <w:proofErr w:type="spellEnd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 xml:space="preserve"> </w:t>
    </w:r>
    <w:proofErr w:type="spell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Of</w:t>
    </w:r>
    <w:proofErr w:type="spellEnd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 xml:space="preserve"> </w:t>
    </w:r>
    <w:proofErr w:type="spell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Wales</w:t>
    </w:r>
    <w:proofErr w:type="spellEnd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 xml:space="preserve"> </w:t>
    </w:r>
    <w:proofErr w:type="spell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College</w:t>
    </w:r>
    <w:proofErr w:type="spellEnd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 xml:space="preserve"> </w:t>
    </w:r>
    <w:proofErr w:type="spell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Of</w:t>
    </w:r>
    <w:proofErr w:type="spellEnd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 xml:space="preserve"> Medicine (1995);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000000" w:themeColor="text1"/>
        <w:sz w:val="20"/>
        <w:szCs w:val="20"/>
        <w:shd w:val="clear" w:color="auto" w:fill="FFFFFF"/>
      </w:rPr>
    </w:pPr>
    <w:proofErr w:type="gram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  <w:vertAlign w:val="superscript"/>
      </w:rPr>
      <w:t>8</w:t>
    </w:r>
    <w:proofErr w:type="gramEnd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  <w:vertAlign w:val="superscript"/>
      </w:rPr>
      <w:t xml:space="preserve"> </w:t>
    </w:r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Doutorado em Programa de Estudos Pós-Graduados em Serviço Social pela Pontifícia Universidade Católica de São Paulo, Brasil (2013);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000000" w:themeColor="text1"/>
        <w:sz w:val="20"/>
        <w:szCs w:val="20"/>
        <w:shd w:val="clear" w:color="auto" w:fill="FFFFFF"/>
      </w:rPr>
    </w:pPr>
    <w:proofErr w:type="gram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  <w:vertAlign w:val="superscript"/>
      </w:rPr>
      <w:t>9</w:t>
    </w:r>
    <w:proofErr w:type="gramEnd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  <w:vertAlign w:val="superscript"/>
      </w:rPr>
      <w:t xml:space="preserve"> </w:t>
    </w:r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</w:rPr>
      <w:t>Assistente Social da Fundação Hospital Adriano Jorge (FHAJ), Manaus-AM;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000000"/>
        <w:sz w:val="20"/>
        <w:szCs w:val="20"/>
        <w:shd w:val="clear" w:color="auto" w:fill="FFFFFF" w:themeFill="background1"/>
      </w:rPr>
    </w:pPr>
    <w:proofErr w:type="gramStart"/>
    <w:r w:rsidRPr="008F5CB1">
      <w:rPr>
        <w:rFonts w:ascii="Arial" w:hAnsi="Arial" w:cs="Arial"/>
        <w:color w:val="000000" w:themeColor="text1"/>
        <w:sz w:val="20"/>
        <w:szCs w:val="20"/>
        <w:shd w:val="clear" w:color="auto" w:fill="FFFFFF"/>
        <w:vertAlign w:val="superscript"/>
      </w:rPr>
      <w:t>10</w:t>
    </w:r>
    <w:r w:rsidRPr="008F5CB1">
      <w:rPr>
        <w:rFonts w:ascii="Tahoma" w:hAnsi="Tahoma" w:cs="Tahoma"/>
        <w:color w:val="000000"/>
        <w:sz w:val="20"/>
        <w:szCs w:val="20"/>
        <w:shd w:val="clear" w:color="auto" w:fill="E1EAF2"/>
      </w:rPr>
      <w:t xml:space="preserve"> </w:t>
    </w:r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>Doutor</w:t>
    </w:r>
    <w:proofErr w:type="gramEnd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 xml:space="preserve"> </w:t>
    </w:r>
    <w:proofErr w:type="spellStart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>Honoris</w:t>
    </w:r>
    <w:proofErr w:type="spellEnd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 xml:space="preserve"> causa, Universidade Paul </w:t>
    </w:r>
    <w:proofErr w:type="spellStart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>Sebatier</w:t>
    </w:r>
    <w:proofErr w:type="spellEnd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</w:rPr>
      <w:t>, Toulouse; 2013;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1D1B11" w:themeColor="background2" w:themeShade="1A"/>
        <w:sz w:val="20"/>
        <w:szCs w:val="20"/>
      </w:rPr>
    </w:pPr>
    <w:proofErr w:type="gramStart"/>
    <w:r w:rsidRPr="008F5CB1">
      <w:rPr>
        <w:rFonts w:ascii="Arial" w:hAnsi="Arial" w:cs="Arial"/>
        <w:color w:val="000000"/>
        <w:sz w:val="20"/>
        <w:szCs w:val="20"/>
        <w:shd w:val="clear" w:color="auto" w:fill="FFFFFF" w:themeFill="background1"/>
        <w:vertAlign w:val="superscript"/>
      </w:rPr>
      <w:t>11</w:t>
    </w:r>
    <w:r w:rsidRPr="008F5CB1">
      <w:rPr>
        <w:rFonts w:ascii="Arial" w:hAnsi="Arial" w:cs="Arial"/>
        <w:color w:val="1D1B11" w:themeColor="background2" w:themeShade="1A"/>
        <w:sz w:val="20"/>
        <w:szCs w:val="20"/>
      </w:rPr>
      <w:t>Acadêmica</w:t>
    </w:r>
    <w:proofErr w:type="gramEnd"/>
    <w:r w:rsidRPr="008F5CB1">
      <w:rPr>
        <w:rFonts w:ascii="Arial" w:hAnsi="Arial" w:cs="Arial"/>
        <w:color w:val="1D1B11" w:themeColor="background2" w:themeShade="1A"/>
        <w:sz w:val="20"/>
        <w:szCs w:val="20"/>
      </w:rPr>
      <w:t xml:space="preserve"> do Curso de Medicina da Universidade do Estado do Amazonas (UEA), Colaborador do Projeto (PAIC/FAPEAM) em 2012/2013.</w:t>
    </w:r>
  </w:p>
  <w:p w:rsidR="00295BC0" w:rsidRPr="008F5CB1" w:rsidRDefault="00295BC0" w:rsidP="00295BC0">
    <w:pPr>
      <w:shd w:val="clear" w:color="auto" w:fill="FFFFFF" w:themeFill="background1"/>
      <w:spacing w:after="0" w:line="240" w:lineRule="auto"/>
      <w:jc w:val="both"/>
      <w:rPr>
        <w:rFonts w:ascii="Arial" w:hAnsi="Arial" w:cs="Arial"/>
        <w:color w:val="000000" w:themeColor="text1"/>
        <w:sz w:val="20"/>
        <w:szCs w:val="20"/>
        <w:shd w:val="clear" w:color="auto" w:fill="FFFFFF"/>
      </w:rPr>
    </w:pPr>
  </w:p>
  <w:p w:rsidR="00295BC0" w:rsidRDefault="00295B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59" w:rsidRDefault="00311B59" w:rsidP="00295BC0">
      <w:pPr>
        <w:spacing w:after="0" w:line="240" w:lineRule="auto"/>
      </w:pPr>
      <w:r>
        <w:separator/>
      </w:r>
    </w:p>
  </w:footnote>
  <w:footnote w:type="continuationSeparator" w:id="0">
    <w:p w:rsidR="00311B59" w:rsidRDefault="00311B59" w:rsidP="0029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68F"/>
    <w:multiLevelType w:val="hybridMultilevel"/>
    <w:tmpl w:val="8842E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050"/>
    <w:rsid w:val="00150431"/>
    <w:rsid w:val="00277B33"/>
    <w:rsid w:val="00295BC0"/>
    <w:rsid w:val="002E2200"/>
    <w:rsid w:val="003054D5"/>
    <w:rsid w:val="00311B59"/>
    <w:rsid w:val="003459B9"/>
    <w:rsid w:val="003973DC"/>
    <w:rsid w:val="003B3C23"/>
    <w:rsid w:val="00421983"/>
    <w:rsid w:val="004641DA"/>
    <w:rsid w:val="004B3BD7"/>
    <w:rsid w:val="005162D6"/>
    <w:rsid w:val="006E5050"/>
    <w:rsid w:val="0076672E"/>
    <w:rsid w:val="007B1BF8"/>
    <w:rsid w:val="008F5CB1"/>
    <w:rsid w:val="00956637"/>
    <w:rsid w:val="0096583C"/>
    <w:rsid w:val="009E4BEF"/>
    <w:rsid w:val="00A10487"/>
    <w:rsid w:val="00A212DD"/>
    <w:rsid w:val="00A95EE2"/>
    <w:rsid w:val="00B94B7E"/>
    <w:rsid w:val="00BA3873"/>
    <w:rsid w:val="00BC296E"/>
    <w:rsid w:val="00BF57BF"/>
    <w:rsid w:val="00CA3AFF"/>
    <w:rsid w:val="00D3206D"/>
    <w:rsid w:val="00D62F5C"/>
    <w:rsid w:val="00DB5AA9"/>
    <w:rsid w:val="00EC2C70"/>
    <w:rsid w:val="00FE4B51"/>
    <w:rsid w:val="00FF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A3873"/>
  </w:style>
  <w:style w:type="character" w:styleId="Hyperlink">
    <w:name w:val="Hyperlink"/>
    <w:basedOn w:val="Fontepargpadro"/>
    <w:uiPriority w:val="99"/>
    <w:rsid w:val="003B3C23"/>
    <w:rPr>
      <w:color w:val="0000FF"/>
      <w:u w:val="single"/>
    </w:rPr>
  </w:style>
  <w:style w:type="character" w:customStyle="1" w:styleId="paginatexto">
    <w:name w:val="pagina_texto"/>
    <w:basedOn w:val="Fontepargpadro"/>
    <w:rsid w:val="00B94B7E"/>
  </w:style>
  <w:style w:type="paragraph" w:styleId="PargrafodaLista">
    <w:name w:val="List Paragraph"/>
    <w:basedOn w:val="Normal"/>
    <w:uiPriority w:val="34"/>
    <w:qFormat/>
    <w:rsid w:val="00A104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95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5BC0"/>
  </w:style>
  <w:style w:type="paragraph" w:styleId="Rodap">
    <w:name w:val="footer"/>
    <w:basedOn w:val="Normal"/>
    <w:link w:val="RodapChar"/>
    <w:uiPriority w:val="99"/>
    <w:semiHidden/>
    <w:unhideWhenUsed/>
    <w:rsid w:val="00295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5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nografiaac.com.br/revisao-bibliografi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cp:lastPrinted>2015-06-11T17:41:00Z</cp:lastPrinted>
  <dcterms:created xsi:type="dcterms:W3CDTF">2015-09-04T18:42:00Z</dcterms:created>
  <dcterms:modified xsi:type="dcterms:W3CDTF">2015-09-04T18:42:00Z</dcterms:modified>
</cp:coreProperties>
</file>